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5FFABB" w14:textId="77777777" w:rsidR="004B626A" w:rsidRDefault="004B626A" w:rsidP="004B626A">
      <w:pPr>
        <w:rPr>
          <w:b/>
          <w:bCs/>
        </w:rPr>
      </w:pPr>
    </w:p>
    <w:p w14:paraId="29DA2C39" w14:textId="77777777" w:rsidR="00996B92" w:rsidRDefault="00996B92" w:rsidP="00996B92">
      <w:pPr>
        <w:jc w:val="both"/>
        <w:rPr>
          <w:rFonts w:ascii="Century Gothic" w:hAnsi="Century Gothic"/>
          <w:b/>
          <w:bCs/>
          <w:sz w:val="20"/>
          <w:szCs w:val="20"/>
        </w:rPr>
      </w:pPr>
    </w:p>
    <w:p w14:paraId="1279E119" w14:textId="7803F8D7" w:rsidR="00996B92" w:rsidRDefault="00996B92" w:rsidP="00996B92">
      <w:pPr>
        <w:pBdr>
          <w:bottom w:val="single" w:sz="4" w:space="1" w:color="auto"/>
        </w:pBd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</w:rPr>
        <w:t>DEUDAS CON ENTIDADES DE CRÉDITO</w:t>
      </w:r>
    </w:p>
    <w:p w14:paraId="1960F76F" w14:textId="77777777" w:rsidR="00996B92" w:rsidRDefault="00996B92" w:rsidP="00996B92">
      <w:pPr>
        <w:jc w:val="both"/>
        <w:rPr>
          <w:rFonts w:ascii="Century Gothic" w:hAnsi="Century Gothic"/>
          <w:sz w:val="20"/>
          <w:szCs w:val="20"/>
        </w:rPr>
      </w:pPr>
    </w:p>
    <w:p w14:paraId="3AB427D2" w14:textId="77777777" w:rsidR="00996B92" w:rsidRDefault="004B626A" w:rsidP="00996B92">
      <w:pPr>
        <w:jc w:val="both"/>
        <w:rPr>
          <w:rFonts w:ascii="Century Gothic" w:hAnsi="Century Gothic"/>
          <w:b/>
          <w:bCs/>
          <w:sz w:val="20"/>
          <w:szCs w:val="20"/>
        </w:rPr>
      </w:pPr>
      <w:r w:rsidRPr="00996B92">
        <w:rPr>
          <w:rFonts w:ascii="Century Gothic" w:hAnsi="Century Gothic"/>
          <w:sz w:val="20"/>
          <w:szCs w:val="20"/>
        </w:rPr>
        <w:t xml:space="preserve">Corresponde el saldo al préstamo concedido con fecha de 8 de mayo de 2015 por la entidad </w:t>
      </w:r>
      <w:r w:rsidRPr="00996B92">
        <w:rPr>
          <w:rFonts w:ascii="Century Gothic" w:hAnsi="Century Gothic"/>
          <w:b/>
          <w:bCs/>
          <w:sz w:val="20"/>
          <w:szCs w:val="20"/>
        </w:rPr>
        <w:t>Banco de Santander Central Hispano</w:t>
      </w:r>
      <w:r w:rsidRPr="00996B92">
        <w:rPr>
          <w:rFonts w:ascii="Century Gothic" w:hAnsi="Century Gothic"/>
          <w:sz w:val="20"/>
          <w:szCs w:val="20"/>
        </w:rPr>
        <w:t xml:space="preserve"> por un total de </w:t>
      </w:r>
      <w:r w:rsidRPr="00996B92">
        <w:rPr>
          <w:rFonts w:ascii="Century Gothic" w:hAnsi="Century Gothic"/>
          <w:b/>
          <w:bCs/>
          <w:sz w:val="20"/>
          <w:szCs w:val="20"/>
        </w:rPr>
        <w:t>4.000.000,00 €</w:t>
      </w:r>
      <w:r w:rsidR="00996B92">
        <w:rPr>
          <w:rFonts w:ascii="Century Gothic" w:hAnsi="Century Gothic"/>
          <w:b/>
          <w:bCs/>
          <w:sz w:val="20"/>
          <w:szCs w:val="20"/>
        </w:rPr>
        <w:t xml:space="preserve">, dispuesto </w:t>
      </w:r>
      <w:bookmarkStart w:id="0" w:name="_GoBack"/>
      <w:bookmarkEnd w:id="0"/>
      <w:r w:rsidR="00996B92">
        <w:rPr>
          <w:rFonts w:ascii="Century Gothic" w:hAnsi="Century Gothic"/>
          <w:b/>
          <w:bCs/>
          <w:sz w:val="20"/>
          <w:szCs w:val="20"/>
        </w:rPr>
        <w:t>en la cantidad de 3.658.544</w:t>
      </w:r>
      <w:r w:rsidRPr="00996B92">
        <w:rPr>
          <w:rFonts w:ascii="Century Gothic" w:hAnsi="Century Gothic"/>
          <w:sz w:val="20"/>
          <w:szCs w:val="20"/>
        </w:rPr>
        <w:t xml:space="preserve"> destinado a la financiación de un </w:t>
      </w:r>
      <w:r w:rsidR="00996B92">
        <w:rPr>
          <w:rFonts w:ascii="Century Gothic" w:hAnsi="Century Gothic"/>
          <w:b/>
          <w:bCs/>
          <w:sz w:val="20"/>
          <w:szCs w:val="20"/>
        </w:rPr>
        <w:t>P</w:t>
      </w:r>
      <w:r w:rsidRPr="00996B92">
        <w:rPr>
          <w:rFonts w:ascii="Century Gothic" w:hAnsi="Century Gothic"/>
          <w:b/>
          <w:bCs/>
          <w:sz w:val="20"/>
          <w:szCs w:val="20"/>
        </w:rPr>
        <w:t>abellón industrial</w:t>
      </w:r>
      <w:r w:rsidRPr="00996B92">
        <w:rPr>
          <w:rFonts w:ascii="Century Gothic" w:hAnsi="Century Gothic"/>
          <w:sz w:val="20"/>
          <w:szCs w:val="20"/>
        </w:rPr>
        <w:t xml:space="preserve"> de su propiedad sito en el </w:t>
      </w:r>
      <w:r w:rsidR="00996B92">
        <w:rPr>
          <w:rFonts w:ascii="Century Gothic" w:hAnsi="Century Gothic"/>
          <w:sz w:val="20"/>
          <w:szCs w:val="20"/>
        </w:rPr>
        <w:t>P</w:t>
      </w:r>
      <w:r w:rsidRPr="00996B92">
        <w:rPr>
          <w:rFonts w:ascii="Century Gothic" w:hAnsi="Century Gothic"/>
          <w:sz w:val="20"/>
          <w:szCs w:val="20"/>
        </w:rPr>
        <w:t xml:space="preserve">olígono </w:t>
      </w:r>
      <w:r w:rsidR="00996B92">
        <w:rPr>
          <w:rFonts w:ascii="Century Gothic" w:hAnsi="Century Gothic"/>
          <w:sz w:val="20"/>
          <w:szCs w:val="20"/>
        </w:rPr>
        <w:t>I</w:t>
      </w:r>
      <w:r w:rsidRPr="00996B92">
        <w:rPr>
          <w:rFonts w:ascii="Century Gothic" w:hAnsi="Century Gothic"/>
          <w:sz w:val="20"/>
          <w:szCs w:val="20"/>
        </w:rPr>
        <w:t>ndustrial de Subillabide, sobre el que se ha suscrito un contrato de arrendamiento</w:t>
      </w:r>
      <w:r w:rsidR="00996B92">
        <w:rPr>
          <w:rFonts w:ascii="Century Gothic" w:hAnsi="Century Gothic"/>
          <w:sz w:val="20"/>
          <w:szCs w:val="20"/>
        </w:rPr>
        <w:t xml:space="preserve"> con opción de compra</w:t>
      </w:r>
      <w:r w:rsidRPr="00996B92">
        <w:rPr>
          <w:rFonts w:ascii="Century Gothic" w:hAnsi="Century Gothic"/>
          <w:sz w:val="20"/>
          <w:szCs w:val="20"/>
        </w:rPr>
        <w:t xml:space="preserve">. Con vencimiento en </w:t>
      </w:r>
      <w:r w:rsidRPr="00996B92">
        <w:rPr>
          <w:rFonts w:ascii="Century Gothic" w:hAnsi="Century Gothic"/>
          <w:b/>
          <w:bCs/>
          <w:sz w:val="20"/>
          <w:szCs w:val="20"/>
        </w:rPr>
        <w:t>12 años con tres de carencia devenga un interés del Euribor</w:t>
      </w:r>
      <w:r w:rsidR="00996B92">
        <w:rPr>
          <w:rFonts w:ascii="Century Gothic" w:hAnsi="Century Gothic"/>
          <w:b/>
          <w:bCs/>
          <w:sz w:val="20"/>
          <w:szCs w:val="20"/>
        </w:rPr>
        <w:t xml:space="preserve"> trimestral</w:t>
      </w:r>
      <w:r w:rsidRPr="00996B92">
        <w:rPr>
          <w:rFonts w:ascii="Century Gothic" w:hAnsi="Century Gothic"/>
          <w:b/>
          <w:bCs/>
          <w:sz w:val="20"/>
          <w:szCs w:val="20"/>
        </w:rPr>
        <w:t xml:space="preserve"> + 0,82%</w:t>
      </w:r>
      <w:r w:rsidR="00996B92">
        <w:rPr>
          <w:rFonts w:ascii="Century Gothic" w:hAnsi="Century Gothic"/>
          <w:b/>
          <w:bCs/>
          <w:sz w:val="20"/>
          <w:szCs w:val="20"/>
        </w:rPr>
        <w:t xml:space="preserve">. </w:t>
      </w:r>
    </w:p>
    <w:p w14:paraId="6045BB04" w14:textId="64F233A5" w:rsidR="00996B92" w:rsidRDefault="004B626A" w:rsidP="00996B92">
      <w:pPr>
        <w:jc w:val="both"/>
        <w:rPr>
          <w:rFonts w:ascii="Century Gothic" w:hAnsi="Century Gothic"/>
          <w:sz w:val="20"/>
          <w:szCs w:val="20"/>
        </w:rPr>
      </w:pPr>
      <w:r w:rsidRPr="00996B92">
        <w:rPr>
          <w:rFonts w:ascii="Century Gothic" w:hAnsi="Century Gothic"/>
          <w:sz w:val="20"/>
          <w:szCs w:val="20"/>
        </w:rPr>
        <w:t xml:space="preserve">Está avalado por la Diputación Foral de Alava. </w:t>
      </w:r>
    </w:p>
    <w:p w14:paraId="04F867A1" w14:textId="77777777" w:rsidR="00996B92" w:rsidRDefault="00996B92" w:rsidP="00996B92">
      <w:pPr>
        <w:jc w:val="both"/>
        <w:rPr>
          <w:rFonts w:ascii="Century Gothic" w:hAnsi="Century Gothic"/>
          <w:sz w:val="20"/>
          <w:szCs w:val="20"/>
        </w:rPr>
      </w:pPr>
    </w:p>
    <w:p w14:paraId="606EBD23" w14:textId="6E24630A" w:rsidR="004B626A" w:rsidRPr="00996B92" w:rsidRDefault="004B626A" w:rsidP="00996B92">
      <w:pPr>
        <w:jc w:val="both"/>
        <w:rPr>
          <w:rFonts w:ascii="Century Gothic" w:hAnsi="Century Gothic"/>
          <w:sz w:val="20"/>
          <w:szCs w:val="20"/>
        </w:rPr>
      </w:pPr>
      <w:r w:rsidRPr="00996B92">
        <w:rPr>
          <w:rFonts w:ascii="Century Gothic" w:hAnsi="Century Gothic"/>
          <w:sz w:val="20"/>
          <w:szCs w:val="20"/>
        </w:rPr>
        <w:t>Los vencimientos de este préstamo son los siguientes:</w:t>
      </w:r>
    </w:p>
    <w:p w14:paraId="459C2994" w14:textId="12F3E69D" w:rsidR="004B626A" w:rsidRPr="00996B92" w:rsidRDefault="004B626A" w:rsidP="00996B92">
      <w:pPr>
        <w:jc w:val="both"/>
        <w:rPr>
          <w:rFonts w:ascii="Century Gothic" w:hAnsi="Century Gothic"/>
          <w:sz w:val="20"/>
          <w:szCs w:val="20"/>
        </w:rPr>
      </w:pPr>
    </w:p>
    <w:tbl>
      <w:tblPr>
        <w:tblStyle w:val="Tablaconcuadrcula"/>
        <w:tblW w:w="0" w:type="auto"/>
        <w:tblInd w:w="1479" w:type="dxa"/>
        <w:tblLook w:val="04A0" w:firstRow="1" w:lastRow="0" w:firstColumn="1" w:lastColumn="0" w:noHBand="0" w:noVBand="1"/>
      </w:tblPr>
      <w:tblGrid>
        <w:gridCol w:w="1121"/>
        <w:gridCol w:w="1081"/>
        <w:gridCol w:w="2126"/>
      </w:tblGrid>
      <w:tr w:rsidR="00EB589F" w:rsidRPr="00996B92" w14:paraId="4D072D34" w14:textId="6DCCE1DE" w:rsidTr="00CE5AFA">
        <w:tc>
          <w:tcPr>
            <w:tcW w:w="1121" w:type="dxa"/>
            <w:vAlign w:val="center"/>
          </w:tcPr>
          <w:p w14:paraId="01098555" w14:textId="4D121B77" w:rsidR="00EB589F" w:rsidRPr="00996B92" w:rsidRDefault="00EB589F" w:rsidP="00CE5AFA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996B92">
              <w:rPr>
                <w:rFonts w:ascii="Century Gothic" w:hAnsi="Century Gothic"/>
                <w:b/>
                <w:bCs/>
                <w:sz w:val="20"/>
                <w:szCs w:val="20"/>
              </w:rPr>
              <w:t>Ejercicio</w:t>
            </w:r>
          </w:p>
        </w:tc>
        <w:tc>
          <w:tcPr>
            <w:tcW w:w="1081" w:type="dxa"/>
            <w:vAlign w:val="center"/>
          </w:tcPr>
          <w:p w14:paraId="654CC3FA" w14:textId="40A4D5DB" w:rsidR="00EB589F" w:rsidRPr="00996B92" w:rsidRDefault="005964A0" w:rsidP="00CE5AFA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996B92">
              <w:rPr>
                <w:rFonts w:ascii="Century Gothic" w:hAnsi="Century Gothic"/>
                <w:b/>
                <w:bCs/>
                <w:sz w:val="20"/>
                <w:szCs w:val="20"/>
              </w:rPr>
              <w:t>Euro</w:t>
            </w:r>
            <w:r w:rsidR="00996B92">
              <w:rPr>
                <w:rFonts w:ascii="Century Gothic" w:hAnsi="Century Gothic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801EA79" w14:textId="7DC54CEC" w:rsidR="00EB589F" w:rsidRPr="00996B92" w:rsidRDefault="00EB589F" w:rsidP="00CE5AFA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996B92">
              <w:rPr>
                <w:rFonts w:ascii="Century Gothic" w:hAnsi="Century Gothic"/>
                <w:b/>
                <w:bCs/>
                <w:sz w:val="20"/>
                <w:szCs w:val="20"/>
              </w:rPr>
              <w:t>Saldo a 31/12/202</w:t>
            </w:r>
            <w:r w:rsidR="00996B92">
              <w:rPr>
                <w:rFonts w:ascii="Century Gothic" w:hAnsi="Century Gothic"/>
                <w:b/>
                <w:bCs/>
                <w:sz w:val="20"/>
                <w:szCs w:val="20"/>
              </w:rPr>
              <w:t>2</w:t>
            </w:r>
          </w:p>
        </w:tc>
      </w:tr>
      <w:tr w:rsidR="00996B92" w:rsidRPr="00996B92" w14:paraId="18912EDF" w14:textId="2C8D024B" w:rsidTr="00CE5AFA">
        <w:tc>
          <w:tcPr>
            <w:tcW w:w="1121" w:type="dxa"/>
            <w:vAlign w:val="center"/>
          </w:tcPr>
          <w:p w14:paraId="722CF732" w14:textId="7EFBB789" w:rsidR="00996B92" w:rsidRPr="00996B92" w:rsidRDefault="00996B92" w:rsidP="00CE5AFA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996B92">
              <w:rPr>
                <w:rFonts w:ascii="Century Gothic" w:hAnsi="Century Gothic"/>
                <w:sz w:val="20"/>
                <w:szCs w:val="20"/>
              </w:rPr>
              <w:t>202</w:t>
            </w: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1081" w:type="dxa"/>
            <w:vAlign w:val="center"/>
          </w:tcPr>
          <w:p w14:paraId="42141C5F" w14:textId="61AE3AEA" w:rsidR="00996B92" w:rsidRPr="00996B92" w:rsidRDefault="00996B92" w:rsidP="00CE5AFA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996B92">
              <w:rPr>
                <w:rFonts w:ascii="Century Gothic" w:hAnsi="Century Gothic"/>
                <w:sz w:val="20"/>
                <w:szCs w:val="20"/>
              </w:rPr>
              <w:t>406.504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89DC506" w14:textId="18A58646" w:rsidR="00996B92" w:rsidRPr="00996B92" w:rsidRDefault="00996B92" w:rsidP="00CE5AFA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1.829.272</w:t>
            </w:r>
            <w:r w:rsidR="00CE5AFA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996B92" w:rsidRPr="00996B92" w14:paraId="66BC822D" w14:textId="179C3F7D" w:rsidTr="00CE5AFA">
        <w:tc>
          <w:tcPr>
            <w:tcW w:w="1121" w:type="dxa"/>
            <w:vAlign w:val="center"/>
          </w:tcPr>
          <w:p w14:paraId="275E11F6" w14:textId="03449AEA" w:rsidR="00996B92" w:rsidRPr="00996B92" w:rsidRDefault="00996B92" w:rsidP="00CE5A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96B92">
              <w:rPr>
                <w:rFonts w:ascii="Century Gothic" w:hAnsi="Century Gothic"/>
                <w:sz w:val="20"/>
                <w:szCs w:val="20"/>
              </w:rPr>
              <w:t>202</w:t>
            </w: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  <w:tc>
          <w:tcPr>
            <w:tcW w:w="1081" w:type="dxa"/>
            <w:tcBorders>
              <w:right w:val="single" w:sz="4" w:space="0" w:color="auto"/>
            </w:tcBorders>
            <w:vAlign w:val="center"/>
          </w:tcPr>
          <w:p w14:paraId="5EE3DDB0" w14:textId="7416FDE5" w:rsidR="00996B92" w:rsidRPr="00996B92" w:rsidRDefault="00996B92" w:rsidP="00CE5A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96B92">
              <w:rPr>
                <w:rFonts w:ascii="Century Gothic" w:hAnsi="Century Gothic"/>
                <w:sz w:val="20"/>
                <w:szCs w:val="20"/>
              </w:rPr>
              <w:t>406.504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03C5CC0" w14:textId="77777777" w:rsidR="00996B92" w:rsidRPr="00996B92" w:rsidRDefault="00996B92" w:rsidP="00CE5A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96B92" w:rsidRPr="00996B92" w14:paraId="21A9BFDE" w14:textId="06BF1063" w:rsidTr="00CE5AFA">
        <w:tc>
          <w:tcPr>
            <w:tcW w:w="1121" w:type="dxa"/>
            <w:vAlign w:val="center"/>
          </w:tcPr>
          <w:p w14:paraId="68DADEFF" w14:textId="2FAD5E63" w:rsidR="00996B92" w:rsidRPr="00996B92" w:rsidRDefault="00996B92" w:rsidP="00CE5A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96B92">
              <w:rPr>
                <w:rFonts w:ascii="Century Gothic" w:hAnsi="Century Gothic"/>
                <w:sz w:val="20"/>
                <w:szCs w:val="20"/>
              </w:rPr>
              <w:t>202</w:t>
            </w:r>
            <w:r>
              <w:rPr>
                <w:rFonts w:ascii="Century Gothic" w:hAnsi="Century Gothic"/>
                <w:sz w:val="20"/>
                <w:szCs w:val="20"/>
              </w:rPr>
              <w:t>5</w:t>
            </w:r>
          </w:p>
        </w:tc>
        <w:tc>
          <w:tcPr>
            <w:tcW w:w="1081" w:type="dxa"/>
            <w:tcBorders>
              <w:right w:val="single" w:sz="4" w:space="0" w:color="auto"/>
            </w:tcBorders>
            <w:vAlign w:val="center"/>
          </w:tcPr>
          <w:p w14:paraId="2FA9D6FF" w14:textId="311720B2" w:rsidR="00996B92" w:rsidRPr="00996B92" w:rsidRDefault="00996B92" w:rsidP="00CE5A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96B92">
              <w:rPr>
                <w:rFonts w:ascii="Century Gothic" w:hAnsi="Century Gothic"/>
                <w:sz w:val="20"/>
                <w:szCs w:val="20"/>
              </w:rPr>
              <w:t>406.504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E46940" w14:textId="77777777" w:rsidR="00996B92" w:rsidRPr="00996B92" w:rsidRDefault="00996B92" w:rsidP="00CE5A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B589F" w:rsidRPr="00996B92" w14:paraId="29BEF40B" w14:textId="0E8F3D77" w:rsidTr="00CE5AFA">
        <w:tc>
          <w:tcPr>
            <w:tcW w:w="1121" w:type="dxa"/>
            <w:vAlign w:val="center"/>
          </w:tcPr>
          <w:p w14:paraId="5DC4E958" w14:textId="02417856" w:rsidR="00EB589F" w:rsidRPr="00996B92" w:rsidRDefault="00EB589F" w:rsidP="00CE5A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96B92">
              <w:rPr>
                <w:rFonts w:ascii="Century Gothic" w:hAnsi="Century Gothic"/>
                <w:sz w:val="20"/>
                <w:szCs w:val="20"/>
              </w:rPr>
              <w:t>Resto</w:t>
            </w:r>
          </w:p>
        </w:tc>
        <w:tc>
          <w:tcPr>
            <w:tcW w:w="1081" w:type="dxa"/>
            <w:tcBorders>
              <w:right w:val="single" w:sz="4" w:space="0" w:color="auto"/>
            </w:tcBorders>
            <w:vAlign w:val="center"/>
          </w:tcPr>
          <w:p w14:paraId="6638BD31" w14:textId="57C26E8C" w:rsidR="00EB589F" w:rsidRPr="00996B92" w:rsidRDefault="00996B92" w:rsidP="00CE5A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609.760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835B7B4" w14:textId="77777777" w:rsidR="00EB589F" w:rsidRPr="00996B92" w:rsidRDefault="00EB589F" w:rsidP="00CE5A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31E2D254" w14:textId="77777777" w:rsidR="004B626A" w:rsidRPr="00996B92" w:rsidRDefault="004B626A" w:rsidP="00996B92">
      <w:pPr>
        <w:jc w:val="both"/>
        <w:rPr>
          <w:rFonts w:ascii="Century Gothic" w:hAnsi="Century Gothic"/>
          <w:sz w:val="20"/>
          <w:szCs w:val="20"/>
        </w:rPr>
      </w:pPr>
    </w:p>
    <w:p w14:paraId="0A5D0E61" w14:textId="77777777" w:rsidR="00EB589F" w:rsidRPr="00996B92" w:rsidRDefault="00EB589F" w:rsidP="00996B92">
      <w:pPr>
        <w:jc w:val="both"/>
        <w:rPr>
          <w:rFonts w:ascii="Century Gothic" w:hAnsi="Century Gothic"/>
          <w:sz w:val="20"/>
          <w:szCs w:val="20"/>
        </w:rPr>
      </w:pPr>
    </w:p>
    <w:p w14:paraId="106A8A4B" w14:textId="1AA52D0F" w:rsidR="00A70609" w:rsidRPr="00996B92" w:rsidRDefault="00A70609" w:rsidP="00996B92">
      <w:pPr>
        <w:jc w:val="both"/>
        <w:rPr>
          <w:rFonts w:ascii="Century Gothic" w:hAnsi="Century Gothic"/>
          <w:sz w:val="20"/>
          <w:szCs w:val="20"/>
        </w:rPr>
      </w:pPr>
      <w:r w:rsidRPr="00996B92">
        <w:rPr>
          <w:rFonts w:ascii="Century Gothic" w:hAnsi="Century Gothic"/>
          <w:sz w:val="20"/>
          <w:szCs w:val="20"/>
        </w:rPr>
        <w:t xml:space="preserve">Los </w:t>
      </w:r>
      <w:r w:rsidRPr="00996B92">
        <w:rPr>
          <w:rFonts w:ascii="Century Gothic" w:hAnsi="Century Gothic"/>
          <w:b/>
          <w:bCs/>
          <w:sz w:val="20"/>
          <w:szCs w:val="20"/>
        </w:rPr>
        <w:t>gastos financieros</w:t>
      </w:r>
      <w:r w:rsidRPr="00996B92">
        <w:rPr>
          <w:rFonts w:ascii="Century Gothic" w:hAnsi="Century Gothic"/>
          <w:sz w:val="20"/>
          <w:szCs w:val="20"/>
        </w:rPr>
        <w:t xml:space="preserve"> </w:t>
      </w:r>
      <w:r w:rsidR="00996B92">
        <w:rPr>
          <w:rFonts w:ascii="Century Gothic" w:hAnsi="Century Gothic"/>
          <w:sz w:val="20"/>
          <w:szCs w:val="20"/>
        </w:rPr>
        <w:t>devengado</w:t>
      </w:r>
      <w:r w:rsidRPr="00996B92">
        <w:rPr>
          <w:rFonts w:ascii="Century Gothic" w:hAnsi="Century Gothic"/>
          <w:sz w:val="20"/>
          <w:szCs w:val="20"/>
        </w:rPr>
        <w:t xml:space="preserve"> en concepto de intereses de préstamos </w:t>
      </w:r>
      <w:r w:rsidR="00996B92">
        <w:rPr>
          <w:rFonts w:ascii="Century Gothic" w:hAnsi="Century Gothic"/>
          <w:sz w:val="20"/>
          <w:szCs w:val="20"/>
        </w:rPr>
        <w:t>en el ejercicio 2022 ascienden a 16.306 Euros.</w:t>
      </w:r>
    </w:p>
    <w:p w14:paraId="2CA121C4" w14:textId="6D8F0822" w:rsidR="003C596A" w:rsidRPr="00996B92" w:rsidRDefault="003C596A" w:rsidP="00996B92">
      <w:pPr>
        <w:jc w:val="both"/>
        <w:rPr>
          <w:rFonts w:ascii="Century Gothic" w:hAnsi="Century Gothic"/>
          <w:b/>
          <w:bCs/>
          <w:i/>
          <w:iCs/>
          <w:sz w:val="20"/>
          <w:szCs w:val="20"/>
        </w:rPr>
      </w:pPr>
    </w:p>
    <w:sectPr w:rsidR="003C596A" w:rsidRPr="00996B9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2B8824" w14:textId="77777777" w:rsidR="004B626A" w:rsidRDefault="004B626A" w:rsidP="004B626A">
      <w:pPr>
        <w:spacing w:after="0" w:line="240" w:lineRule="auto"/>
      </w:pPr>
      <w:r>
        <w:separator/>
      </w:r>
    </w:p>
  </w:endnote>
  <w:endnote w:type="continuationSeparator" w:id="0">
    <w:p w14:paraId="271776C8" w14:textId="77777777" w:rsidR="004B626A" w:rsidRDefault="004B626A" w:rsidP="004B6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C3DB07" w14:textId="77777777" w:rsidR="004B626A" w:rsidRDefault="004B626A" w:rsidP="004B626A">
      <w:pPr>
        <w:spacing w:after="0" w:line="240" w:lineRule="auto"/>
      </w:pPr>
      <w:r>
        <w:separator/>
      </w:r>
    </w:p>
  </w:footnote>
  <w:footnote w:type="continuationSeparator" w:id="0">
    <w:p w14:paraId="6A4969F5" w14:textId="77777777" w:rsidR="004B626A" w:rsidRDefault="004B626A" w:rsidP="004B6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EF89A9" w14:textId="5FD9D2F8" w:rsidR="004B626A" w:rsidRDefault="004B626A">
    <w:pPr>
      <w:pStyle w:val="Encabezado"/>
    </w:pPr>
    <w:r w:rsidRPr="004B626A">
      <w:rPr>
        <w:noProof/>
      </w:rPr>
      <w:drawing>
        <wp:inline distT="0" distB="0" distL="0" distR="0" wp14:anchorId="10216923" wp14:editId="428040C1">
          <wp:extent cx="5400040" cy="53657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44A"/>
    <w:rsid w:val="00151C07"/>
    <w:rsid w:val="00185595"/>
    <w:rsid w:val="003C596A"/>
    <w:rsid w:val="004B626A"/>
    <w:rsid w:val="00505E40"/>
    <w:rsid w:val="005964A0"/>
    <w:rsid w:val="00665673"/>
    <w:rsid w:val="00996B92"/>
    <w:rsid w:val="009F2CF9"/>
    <w:rsid w:val="00A70609"/>
    <w:rsid w:val="00B047FB"/>
    <w:rsid w:val="00B5644A"/>
    <w:rsid w:val="00CE5AFA"/>
    <w:rsid w:val="00CF5A26"/>
    <w:rsid w:val="00D750AA"/>
    <w:rsid w:val="00EB589F"/>
    <w:rsid w:val="00F7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2D99"/>
  <w15:chartTrackingRefBased/>
  <w15:docId w15:val="{82CAF34C-D5A8-453E-9845-6447A7023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B6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B62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B626A"/>
  </w:style>
  <w:style w:type="paragraph" w:styleId="Piedepgina">
    <w:name w:val="footer"/>
    <w:basedOn w:val="Normal"/>
    <w:link w:val="PiedepginaCar"/>
    <w:uiPriority w:val="99"/>
    <w:unhideWhenUsed/>
    <w:rsid w:val="004B62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626A"/>
  </w:style>
  <w:style w:type="character" w:styleId="Hipervnculo">
    <w:name w:val="Hyperlink"/>
    <w:basedOn w:val="Fuentedeprrafopredeter"/>
    <w:uiPriority w:val="99"/>
    <w:unhideWhenUsed/>
    <w:rsid w:val="003C596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C5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132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Arias Lopez de Lacalle, Arrate</dc:creator>
  <cp:keywords/>
  <dc:description/>
  <cp:lastModifiedBy>Solozábal Lopez, Paula</cp:lastModifiedBy>
  <cp:revision>10</cp:revision>
  <dcterms:created xsi:type="dcterms:W3CDTF">2022-12-21T09:47:00Z</dcterms:created>
  <dcterms:modified xsi:type="dcterms:W3CDTF">2023-01-31T07:43:00Z</dcterms:modified>
</cp:coreProperties>
</file>