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E309" w14:textId="1333B633" w:rsidR="00E90B4C" w:rsidRPr="00E90B4C" w:rsidRDefault="00FC4C7B" w:rsidP="00E90B4C">
      <w:pPr>
        <w:pBdr>
          <w:bottom w:val="single" w:sz="4" w:space="1" w:color="auto"/>
        </w:pBdr>
        <w:rPr>
          <w:rFonts w:ascii="Century Gothic" w:hAnsi="Century Gothic"/>
          <w:b/>
          <w:szCs w:val="20"/>
        </w:rPr>
      </w:pPr>
      <w:r>
        <w:rPr>
          <w:rFonts w:ascii="Century Gothic" w:hAnsi="Century Gothic"/>
          <w:b/>
          <w:szCs w:val="20"/>
        </w:rPr>
        <w:t>OBJETIVOS GENERALES PARA EL AÑO 202</w:t>
      </w:r>
      <w:r w:rsidR="00D17D77">
        <w:rPr>
          <w:rFonts w:ascii="Century Gothic" w:hAnsi="Century Gothic"/>
          <w:b/>
          <w:szCs w:val="20"/>
        </w:rPr>
        <w:t>6</w:t>
      </w:r>
    </w:p>
    <w:p w14:paraId="23796034" w14:textId="77777777" w:rsidR="0098056F" w:rsidRPr="0098056F" w:rsidRDefault="0098056F" w:rsidP="0098056F">
      <w:pPr>
        <w:jc w:val="both"/>
        <w:rPr>
          <w:rFonts w:ascii="Century Gothic" w:hAnsi="Century Gothic"/>
          <w:szCs w:val="20"/>
        </w:rPr>
      </w:pPr>
    </w:p>
    <w:p w14:paraId="0DBE1E55" w14:textId="77777777" w:rsidR="00FC4C7B" w:rsidRPr="00FC4C7B" w:rsidRDefault="00FC4C7B" w:rsidP="0098056F">
      <w:pPr>
        <w:jc w:val="both"/>
        <w:rPr>
          <w:rFonts w:ascii="Century Gothic" w:hAnsi="Century Gothic"/>
          <w:b/>
          <w:szCs w:val="20"/>
        </w:rPr>
      </w:pPr>
      <w:r w:rsidRPr="00FC4C7B">
        <w:rPr>
          <w:rFonts w:ascii="Century Gothic" w:hAnsi="Century Gothic"/>
          <w:b/>
          <w:szCs w:val="20"/>
        </w:rPr>
        <w:t xml:space="preserve">Ventas: </w:t>
      </w:r>
    </w:p>
    <w:p w14:paraId="5F8F8804" w14:textId="77777777" w:rsidR="00D17D77" w:rsidRDefault="00D17D77" w:rsidP="006E5298">
      <w:pPr>
        <w:jc w:val="both"/>
        <w:rPr>
          <w:rFonts w:ascii="Century Gothic" w:hAnsi="Century Gothic"/>
          <w:szCs w:val="20"/>
        </w:rPr>
      </w:pPr>
      <w:r>
        <w:rPr>
          <w:rFonts w:ascii="Century Gothic" w:hAnsi="Century Gothic"/>
          <w:szCs w:val="20"/>
        </w:rPr>
        <w:t>E</w:t>
      </w:r>
      <w:r w:rsidRPr="00D17D77">
        <w:rPr>
          <w:rFonts w:ascii="Century Gothic" w:hAnsi="Century Gothic"/>
          <w:szCs w:val="20"/>
        </w:rPr>
        <w:t>n el momento actual no hay ofertas de alcance significativo cuya formalización se prevea durante el ejercicio 2026. En el caso de que se obtengan ingresos adicionales por ventas durante el ejercicio, estos se asignarán a las inversiones pendientes de programación. Las ventas registradas previstas se corresponden con el ejercicio de un derecho de retracto sobre una permuta de parcelas en el Polígono de Casablanca I y II.</w:t>
      </w:r>
    </w:p>
    <w:p w14:paraId="54CC6FCA" w14:textId="77777777" w:rsidR="00585B64" w:rsidRPr="00585B64" w:rsidRDefault="00585B64" w:rsidP="00585B64">
      <w:pPr>
        <w:jc w:val="both"/>
        <w:rPr>
          <w:rFonts w:ascii="Century Gothic" w:hAnsi="Century Gothic"/>
          <w:b/>
          <w:szCs w:val="20"/>
        </w:rPr>
      </w:pPr>
      <w:r w:rsidRPr="00585B64">
        <w:rPr>
          <w:rFonts w:ascii="Century Gothic" w:hAnsi="Century Gothic"/>
          <w:b/>
          <w:szCs w:val="20"/>
        </w:rPr>
        <w:t xml:space="preserve">Arrendamientos y alquileres con opción de compra: </w:t>
      </w:r>
    </w:p>
    <w:p w14:paraId="03D907D8" w14:textId="1338558B" w:rsidR="00585B64" w:rsidRDefault="00585B64" w:rsidP="00585B64">
      <w:pPr>
        <w:jc w:val="both"/>
        <w:rPr>
          <w:rFonts w:ascii="Century Gothic" w:hAnsi="Century Gothic"/>
          <w:szCs w:val="20"/>
        </w:rPr>
      </w:pPr>
      <w:r>
        <w:rPr>
          <w:rFonts w:ascii="Century Gothic" w:hAnsi="Century Gothic"/>
          <w:szCs w:val="20"/>
        </w:rPr>
        <w:t>El</w:t>
      </w:r>
      <w:r w:rsidRPr="00585B64">
        <w:rPr>
          <w:rFonts w:ascii="Century Gothic" w:hAnsi="Century Gothic"/>
          <w:szCs w:val="20"/>
        </w:rPr>
        <w:t xml:space="preserve"> presupuesto prevé cifras similares a 2025. Las diferencias se deben a la conversión de un contrato de arrendamiento en un contrato de arrendamiento con opción de compra.</w:t>
      </w:r>
    </w:p>
    <w:tbl>
      <w:tblPr>
        <w:tblW w:w="0" w:type="auto"/>
        <w:jc w:val="center"/>
        <w:tblCellMar>
          <w:left w:w="0" w:type="dxa"/>
          <w:right w:w="0" w:type="dxa"/>
        </w:tblCellMar>
        <w:tblLook w:val="04A0" w:firstRow="1" w:lastRow="0" w:firstColumn="1" w:lastColumn="0" w:noHBand="0" w:noVBand="1"/>
      </w:tblPr>
      <w:tblGrid>
        <w:gridCol w:w="2582"/>
        <w:gridCol w:w="1276"/>
      </w:tblGrid>
      <w:tr w:rsidR="00103B93" w:rsidRPr="00103B93" w14:paraId="6786D6E7" w14:textId="77777777" w:rsidTr="00103B93">
        <w:trPr>
          <w:jc w:val="center"/>
        </w:trPr>
        <w:tc>
          <w:tcPr>
            <w:tcW w:w="2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384434" w14:textId="77777777" w:rsidR="00103B93" w:rsidRPr="00103B93" w:rsidRDefault="00103B93" w:rsidP="00103B93">
            <w:pPr>
              <w:spacing w:after="0"/>
              <w:jc w:val="center"/>
              <w:rPr>
                <w:rFonts w:ascii="Century Gothic" w:hAnsi="Century Gothic"/>
                <w:b/>
                <w:bCs/>
                <w:szCs w:val="20"/>
              </w:rPr>
            </w:pPr>
            <w:r w:rsidRPr="00103B93">
              <w:rPr>
                <w:rFonts w:ascii="Century Gothic" w:hAnsi="Century Gothic"/>
                <w:b/>
                <w:bCs/>
                <w:szCs w:val="20"/>
              </w:rPr>
              <w:t>Ingresos por prestación de servicios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9D670B" w14:textId="77777777" w:rsidR="00103B93" w:rsidRPr="00103B93" w:rsidRDefault="00103B93" w:rsidP="00103B93">
            <w:pPr>
              <w:spacing w:after="0"/>
              <w:jc w:val="center"/>
              <w:rPr>
                <w:rFonts w:ascii="Century Gothic" w:hAnsi="Century Gothic"/>
                <w:b/>
                <w:bCs/>
                <w:szCs w:val="20"/>
              </w:rPr>
            </w:pPr>
            <w:r w:rsidRPr="00103B93">
              <w:rPr>
                <w:rFonts w:ascii="Century Gothic" w:hAnsi="Century Gothic"/>
                <w:b/>
                <w:bCs/>
                <w:szCs w:val="20"/>
              </w:rPr>
              <w:t>Euros</w:t>
            </w:r>
          </w:p>
        </w:tc>
      </w:tr>
      <w:tr w:rsidR="00103B93" w:rsidRPr="00103B93" w14:paraId="6C5DABD7" w14:textId="77777777" w:rsidTr="00103B93">
        <w:trPr>
          <w:trHeight w:val="193"/>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F47D1" w14:textId="77777777" w:rsidR="00103B93" w:rsidRPr="00103B93" w:rsidRDefault="00103B93" w:rsidP="00103B93">
            <w:pPr>
              <w:spacing w:after="0"/>
              <w:jc w:val="both"/>
              <w:rPr>
                <w:rFonts w:ascii="Century Gothic" w:hAnsi="Century Gothic"/>
                <w:szCs w:val="20"/>
              </w:rPr>
            </w:pPr>
            <w:r w:rsidRPr="00103B93">
              <w:rPr>
                <w:rFonts w:ascii="Century Gothic" w:hAnsi="Century Gothic"/>
                <w:szCs w:val="20"/>
              </w:rPr>
              <w:t>Ventas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8A2E5FC" w14:textId="77777777" w:rsidR="00103B93" w:rsidRPr="00103B93" w:rsidRDefault="00103B93" w:rsidP="00103B93">
            <w:pPr>
              <w:spacing w:after="0"/>
              <w:jc w:val="both"/>
              <w:rPr>
                <w:rFonts w:ascii="Century Gothic" w:hAnsi="Century Gothic"/>
                <w:szCs w:val="20"/>
              </w:rPr>
            </w:pPr>
            <w:r w:rsidRPr="00103B93">
              <w:rPr>
                <w:rFonts w:ascii="Century Gothic" w:hAnsi="Century Gothic"/>
                <w:szCs w:val="20"/>
              </w:rPr>
              <w:t>1.102.394</w:t>
            </w:r>
          </w:p>
        </w:tc>
      </w:tr>
      <w:tr w:rsidR="00103B93" w:rsidRPr="00103B93" w14:paraId="0C6F0DEF" w14:textId="77777777" w:rsidTr="00103B93">
        <w:trPr>
          <w:trHeight w:val="257"/>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65941" w14:textId="77777777" w:rsidR="00103B93" w:rsidRPr="00103B93" w:rsidRDefault="00103B93" w:rsidP="00103B93">
            <w:pPr>
              <w:spacing w:after="0"/>
              <w:jc w:val="both"/>
              <w:rPr>
                <w:rFonts w:ascii="Century Gothic" w:hAnsi="Century Gothic"/>
                <w:szCs w:val="20"/>
              </w:rPr>
            </w:pPr>
            <w:r w:rsidRPr="00103B93">
              <w:rPr>
                <w:rFonts w:ascii="Century Gothic" w:hAnsi="Century Gothic"/>
                <w:szCs w:val="20"/>
              </w:rPr>
              <w:t>Arrendamientos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2EB0016" w14:textId="77777777" w:rsidR="00103B93" w:rsidRPr="00103B93" w:rsidRDefault="00103B93" w:rsidP="00103B93">
            <w:pPr>
              <w:spacing w:after="0"/>
              <w:jc w:val="both"/>
              <w:rPr>
                <w:rFonts w:ascii="Century Gothic" w:hAnsi="Century Gothic"/>
                <w:szCs w:val="20"/>
              </w:rPr>
            </w:pPr>
            <w:r w:rsidRPr="00103B93">
              <w:rPr>
                <w:rFonts w:ascii="Century Gothic" w:hAnsi="Century Gothic"/>
                <w:szCs w:val="20"/>
              </w:rPr>
              <w:t>664.893</w:t>
            </w:r>
          </w:p>
        </w:tc>
      </w:tr>
      <w:tr w:rsidR="00103B93" w:rsidRPr="00103B93" w14:paraId="7BD08C66" w14:textId="77777777" w:rsidTr="00103B93">
        <w:trPr>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B763750" w14:textId="55BF8C3E" w:rsidR="00103B93" w:rsidRPr="00103B93" w:rsidRDefault="00103B93" w:rsidP="00103B93">
            <w:pPr>
              <w:tabs>
                <w:tab w:val="right" w:pos="2366"/>
              </w:tabs>
              <w:spacing w:after="0"/>
              <w:jc w:val="right"/>
              <w:rPr>
                <w:rFonts w:ascii="Century Gothic" w:hAnsi="Century Gothic"/>
                <w:b/>
                <w:bCs/>
                <w:szCs w:val="20"/>
              </w:rPr>
            </w:pPr>
            <w:r w:rsidRPr="00103B93">
              <w:rPr>
                <w:rFonts w:ascii="Century Gothic" w:hAnsi="Century Gothic"/>
                <w:b/>
                <w:bCs/>
                <w:szCs w:val="20"/>
              </w:rPr>
              <w:t>Total</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34A5FD" w14:textId="77777777" w:rsidR="00103B93" w:rsidRPr="00103B93" w:rsidRDefault="00103B93" w:rsidP="00103B93">
            <w:pPr>
              <w:spacing w:after="0"/>
              <w:jc w:val="both"/>
              <w:rPr>
                <w:rFonts w:ascii="Century Gothic" w:hAnsi="Century Gothic"/>
                <w:b/>
                <w:bCs/>
                <w:szCs w:val="20"/>
              </w:rPr>
            </w:pPr>
            <w:r w:rsidRPr="00103B93">
              <w:rPr>
                <w:rFonts w:ascii="Century Gothic" w:hAnsi="Century Gothic"/>
                <w:b/>
                <w:bCs/>
                <w:szCs w:val="20"/>
              </w:rPr>
              <w:t>1.767.287</w:t>
            </w:r>
          </w:p>
        </w:tc>
      </w:tr>
    </w:tbl>
    <w:p w14:paraId="1D733EFE" w14:textId="77777777" w:rsidR="0009464C" w:rsidRDefault="0009464C" w:rsidP="006E5298">
      <w:pPr>
        <w:jc w:val="both"/>
        <w:rPr>
          <w:rFonts w:ascii="Century Gothic" w:hAnsi="Century Gothic"/>
          <w:b/>
          <w:szCs w:val="20"/>
        </w:rPr>
      </w:pPr>
    </w:p>
    <w:p w14:paraId="02DC97D9" w14:textId="6E2F08D8" w:rsidR="006E5298" w:rsidRPr="006E5298" w:rsidRDefault="006E5298" w:rsidP="006E5298">
      <w:pPr>
        <w:jc w:val="both"/>
        <w:rPr>
          <w:rFonts w:ascii="Century Gothic" w:hAnsi="Century Gothic"/>
          <w:b/>
          <w:szCs w:val="20"/>
        </w:rPr>
      </w:pPr>
      <w:r w:rsidRPr="006E5298">
        <w:rPr>
          <w:rFonts w:ascii="Century Gothic" w:hAnsi="Century Gothic"/>
          <w:b/>
          <w:szCs w:val="20"/>
        </w:rPr>
        <w:t>Plantilla:</w:t>
      </w:r>
    </w:p>
    <w:p w14:paraId="09496FE3" w14:textId="4D206421" w:rsidR="0009464C" w:rsidRPr="0009464C" w:rsidRDefault="0009464C" w:rsidP="0009464C">
      <w:pPr>
        <w:jc w:val="both"/>
        <w:rPr>
          <w:rFonts w:ascii="Century Gothic" w:hAnsi="Century Gothic"/>
          <w:szCs w:val="20"/>
        </w:rPr>
      </w:pPr>
      <w:r>
        <w:rPr>
          <w:rFonts w:ascii="Century Gothic" w:hAnsi="Century Gothic"/>
          <w:szCs w:val="20"/>
        </w:rPr>
        <w:t>S</w:t>
      </w:r>
      <w:r w:rsidRPr="0009464C">
        <w:rPr>
          <w:rFonts w:ascii="Century Gothic" w:hAnsi="Century Gothic"/>
          <w:szCs w:val="20"/>
        </w:rPr>
        <w:t xml:space="preserve">e prevé el ajuste de la remuneración del técnico económico-financiero, equiparándolo así progresivamente con el nivel general del resto de técnicos de AAD. </w:t>
      </w:r>
    </w:p>
    <w:p w14:paraId="6156040C" w14:textId="77777777" w:rsidR="0009464C" w:rsidRPr="0009464C" w:rsidRDefault="0009464C" w:rsidP="0009464C">
      <w:pPr>
        <w:jc w:val="both"/>
        <w:rPr>
          <w:rFonts w:ascii="Century Gothic" w:hAnsi="Century Gothic"/>
          <w:szCs w:val="20"/>
        </w:rPr>
      </w:pPr>
      <w:r w:rsidRPr="0009464C">
        <w:rPr>
          <w:rFonts w:ascii="Century Gothic" w:hAnsi="Century Gothic"/>
          <w:szCs w:val="20"/>
        </w:rPr>
        <w:t>El presupuesto contempla un incremento salarial en 2026 del 2 % sobre la base de una masa salarial en 2025 que contempla una subida del 2,5%.</w:t>
      </w:r>
    </w:p>
    <w:p w14:paraId="0C6B2E53" w14:textId="77777777" w:rsidR="00FC4C7B" w:rsidRPr="00FC4C7B" w:rsidRDefault="00FC4C7B" w:rsidP="006E5298">
      <w:pPr>
        <w:jc w:val="both"/>
        <w:rPr>
          <w:rFonts w:ascii="Century Gothic" w:hAnsi="Century Gothic"/>
          <w:b/>
        </w:rPr>
      </w:pPr>
      <w:r w:rsidRPr="00FC4C7B">
        <w:rPr>
          <w:rFonts w:ascii="Century Gothic" w:hAnsi="Century Gothic"/>
          <w:b/>
        </w:rPr>
        <w:t xml:space="preserve">Financiación:  </w:t>
      </w:r>
    </w:p>
    <w:p w14:paraId="59E9E92B" w14:textId="1DFE9278" w:rsidR="00FC4C7B" w:rsidRDefault="00FC4C7B" w:rsidP="006E5298">
      <w:pPr>
        <w:jc w:val="both"/>
        <w:rPr>
          <w:rFonts w:ascii="Century Gothic" w:hAnsi="Century Gothic"/>
          <w:szCs w:val="20"/>
        </w:rPr>
      </w:pPr>
      <w:r w:rsidRPr="00FC4C7B">
        <w:rPr>
          <w:rFonts w:ascii="Century Gothic" w:hAnsi="Century Gothic"/>
        </w:rPr>
        <w:t>Se prevé la aportación de socios para compensar pérdidas por valor de </w:t>
      </w:r>
      <w:r w:rsidR="007B2A6F">
        <w:rPr>
          <w:rFonts w:ascii="Century Gothic" w:hAnsi="Century Gothic"/>
          <w:szCs w:val="20"/>
        </w:rPr>
        <w:t>589.681</w:t>
      </w:r>
      <w:r w:rsidRPr="00FC4C7B">
        <w:rPr>
          <w:rFonts w:ascii="Century Gothic" w:hAnsi="Century Gothic"/>
          <w:szCs w:val="20"/>
        </w:rPr>
        <w:t> de euros.</w:t>
      </w:r>
    </w:p>
    <w:p w14:paraId="58084A0E" w14:textId="77777777" w:rsidR="0098056F" w:rsidRPr="0098056F" w:rsidRDefault="0098056F" w:rsidP="006E5298">
      <w:pPr>
        <w:jc w:val="both"/>
        <w:rPr>
          <w:rFonts w:ascii="Century Gothic" w:hAnsi="Century Gothic"/>
          <w:szCs w:val="20"/>
        </w:rPr>
      </w:pPr>
    </w:p>
    <w:p w14:paraId="2E04E32E" w14:textId="77777777" w:rsidR="007D1AB8" w:rsidRPr="00E20759" w:rsidRDefault="007D1AB8" w:rsidP="006E5298">
      <w:pPr>
        <w:tabs>
          <w:tab w:val="left" w:pos="3828"/>
          <w:tab w:val="left" w:pos="7513"/>
        </w:tabs>
        <w:spacing w:after="0" w:line="240" w:lineRule="atLeast"/>
        <w:jc w:val="both"/>
        <w:rPr>
          <w:szCs w:val="20"/>
        </w:rPr>
      </w:pPr>
    </w:p>
    <w:sectPr w:rsidR="007D1AB8" w:rsidRPr="00E20759" w:rsidSect="0072100C">
      <w:headerReference w:type="default" r:id="rId7"/>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4E331" w14:textId="77777777" w:rsidR="00F96E44" w:rsidRDefault="00F96E44" w:rsidP="002B473E">
      <w:pPr>
        <w:spacing w:after="0" w:line="240" w:lineRule="auto"/>
      </w:pPr>
      <w:r>
        <w:separator/>
      </w:r>
    </w:p>
  </w:endnote>
  <w:endnote w:type="continuationSeparator" w:id="0">
    <w:p w14:paraId="2E04E332" w14:textId="77777777" w:rsidR="00F96E44" w:rsidRDefault="00F96E44" w:rsidP="002B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E337" w14:textId="77777777" w:rsidR="002B473E" w:rsidRDefault="002B473E" w:rsidP="002B473E">
    <w:pPr>
      <w:tabs>
        <w:tab w:val="left" w:pos="3828"/>
        <w:tab w:val="left" w:pos="7230"/>
      </w:tabs>
      <w:spacing w:after="0" w:line="240" w:lineRule="atLeast"/>
      <w:rPr>
        <w:rFonts w:ascii="Roboto" w:hAnsi="Roboto"/>
        <w:sz w:val="16"/>
        <w:szCs w:val="16"/>
      </w:rPr>
    </w:pPr>
  </w:p>
  <w:p w14:paraId="2E04E338"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Araba Garapen Agentzia</w:t>
    </w:r>
    <w:r w:rsidRPr="0072100C">
      <w:rPr>
        <w:rFonts w:ascii="Roboto" w:hAnsi="Roboto"/>
        <w:sz w:val="16"/>
        <w:szCs w:val="16"/>
      </w:rPr>
      <w:tab/>
      <w:t>Landazuri, 15</w:t>
    </w:r>
    <w:r w:rsidRPr="0072100C">
      <w:rPr>
        <w:rFonts w:ascii="Roboto" w:hAnsi="Roboto"/>
        <w:sz w:val="16"/>
        <w:szCs w:val="16"/>
      </w:rPr>
      <w:tab/>
      <w:t>www.aad.eus</w:t>
    </w:r>
  </w:p>
  <w:p w14:paraId="2E04E339" w14:textId="77777777" w:rsidR="002B473E" w:rsidRPr="0072100C" w:rsidRDefault="002B473E" w:rsidP="002B473E">
    <w:pPr>
      <w:tabs>
        <w:tab w:val="left" w:pos="3828"/>
        <w:tab w:val="left" w:pos="7230"/>
      </w:tabs>
      <w:spacing w:after="0" w:line="240" w:lineRule="atLeast"/>
      <w:rPr>
        <w:rFonts w:ascii="Roboto" w:hAnsi="Roboto"/>
        <w:sz w:val="16"/>
        <w:szCs w:val="16"/>
      </w:rPr>
    </w:pPr>
    <w:r w:rsidRPr="0072100C">
      <w:rPr>
        <w:rFonts w:ascii="Roboto" w:hAnsi="Roboto"/>
        <w:sz w:val="16"/>
        <w:szCs w:val="16"/>
      </w:rPr>
      <w:t>Álava Agencia de Desarrollo</w:t>
    </w:r>
    <w:r w:rsidRPr="0072100C">
      <w:rPr>
        <w:rFonts w:ascii="Roboto" w:hAnsi="Roboto"/>
        <w:sz w:val="16"/>
        <w:szCs w:val="16"/>
      </w:rPr>
      <w:tab/>
      <w:t>01008 Vitoria-Gasteiz</w:t>
    </w:r>
    <w:r w:rsidRPr="0072100C">
      <w:rPr>
        <w:rFonts w:ascii="Roboto" w:hAnsi="Roboto"/>
        <w:sz w:val="16"/>
        <w:szCs w:val="16"/>
      </w:rPr>
      <w:tab/>
      <w:t>agencia@aad.eus</w:t>
    </w:r>
  </w:p>
  <w:p w14:paraId="2E04E33A" w14:textId="77777777" w:rsidR="002B473E" w:rsidRPr="0072100C" w:rsidRDefault="002B473E" w:rsidP="002B473E">
    <w:pPr>
      <w:tabs>
        <w:tab w:val="left" w:pos="3828"/>
        <w:tab w:val="left" w:pos="7230"/>
      </w:tabs>
      <w:spacing w:after="0" w:line="240" w:lineRule="atLeast"/>
      <w:rPr>
        <w:rFonts w:ascii="Roboto" w:hAnsi="Roboto"/>
        <w:sz w:val="16"/>
        <w:szCs w:val="16"/>
        <w:lang w:val="en-US"/>
      </w:rPr>
    </w:pPr>
    <w:r w:rsidRPr="0072100C">
      <w:rPr>
        <w:rFonts w:ascii="Roboto" w:hAnsi="Roboto"/>
        <w:sz w:val="16"/>
        <w:szCs w:val="16"/>
        <w:lang w:val="en-US"/>
      </w:rPr>
      <w:t>Alava Development Agency</w:t>
    </w:r>
    <w:r w:rsidRPr="0072100C">
      <w:rPr>
        <w:rFonts w:ascii="Roboto" w:hAnsi="Roboto"/>
        <w:sz w:val="16"/>
        <w:szCs w:val="16"/>
        <w:lang w:val="en-US"/>
      </w:rPr>
      <w:tab/>
      <w:t>BASQUE COUNTRY- (Spain)</w:t>
    </w:r>
    <w:r w:rsidRPr="0072100C">
      <w:rPr>
        <w:rFonts w:ascii="Roboto" w:hAnsi="Roboto"/>
        <w:sz w:val="16"/>
        <w:szCs w:val="16"/>
        <w:lang w:val="en-US"/>
      </w:rPr>
      <w:tab/>
      <w:t>+34  945 158070</w:t>
    </w:r>
  </w:p>
  <w:p w14:paraId="2E04E33B" w14:textId="77777777" w:rsidR="002B473E" w:rsidRPr="002B473E" w:rsidRDefault="002B473E" w:rsidP="002B473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4E32F" w14:textId="77777777" w:rsidR="00F96E44" w:rsidRDefault="00F96E44" w:rsidP="002B473E">
      <w:pPr>
        <w:spacing w:after="0" w:line="240" w:lineRule="auto"/>
      </w:pPr>
      <w:r>
        <w:separator/>
      </w:r>
    </w:p>
  </w:footnote>
  <w:footnote w:type="continuationSeparator" w:id="0">
    <w:p w14:paraId="2E04E330" w14:textId="77777777" w:rsidR="00F96E44" w:rsidRDefault="00F96E44" w:rsidP="002B4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E333" w14:textId="5CCB9565" w:rsidR="002E52C4" w:rsidRDefault="00DE3072">
    <w:pPr>
      <w:pStyle w:val="Encabezado"/>
      <w:rPr>
        <w:noProof/>
        <w:sz w:val="30"/>
        <w:szCs w:val="30"/>
        <w:lang w:eastAsia="es-ES"/>
      </w:rPr>
    </w:pPr>
    <w:r w:rsidRPr="004B626A">
      <w:rPr>
        <w:noProof/>
      </w:rPr>
      <w:drawing>
        <wp:inline distT="0" distB="0" distL="0" distR="0" wp14:anchorId="092F2AC6" wp14:editId="7188B63C">
          <wp:extent cx="5400040" cy="536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36575"/>
                  </a:xfrm>
                  <a:prstGeom prst="rect">
                    <a:avLst/>
                  </a:prstGeom>
                  <a:noFill/>
                  <a:ln>
                    <a:noFill/>
                  </a:ln>
                </pic:spPr>
              </pic:pic>
            </a:graphicData>
          </a:graphic>
        </wp:inline>
      </w:drawing>
    </w:r>
    <w:r w:rsidR="002E52C4">
      <w:rPr>
        <w:noProof/>
        <w:sz w:val="30"/>
        <w:szCs w:val="30"/>
        <w:lang w:eastAsia="es-ES"/>
      </w:rPr>
      <w:t xml:space="preserve">                                                  </w:t>
    </w:r>
  </w:p>
  <w:p w14:paraId="2E04E334" w14:textId="77777777" w:rsidR="007E76B6" w:rsidRDefault="007E76B6">
    <w:pPr>
      <w:pStyle w:val="Encabezado"/>
      <w:rPr>
        <w:noProof/>
        <w:sz w:val="30"/>
        <w:szCs w:val="30"/>
        <w:lang w:eastAsia="es-ES"/>
      </w:rPr>
    </w:pPr>
  </w:p>
  <w:p w14:paraId="2E04E335" w14:textId="77777777" w:rsidR="007E76B6" w:rsidRDefault="007E76B6">
    <w:pPr>
      <w:pStyle w:val="Encabezado"/>
      <w:rPr>
        <w:noProof/>
        <w:sz w:val="30"/>
        <w:szCs w:val="30"/>
        <w:lang w:eastAsia="es-ES"/>
      </w:rPr>
    </w:pPr>
  </w:p>
  <w:p w14:paraId="2E04E336" w14:textId="77777777" w:rsidR="007E76B6" w:rsidRDefault="007E76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B3650"/>
    <w:multiLevelType w:val="hybridMultilevel"/>
    <w:tmpl w:val="AF142126"/>
    <w:lvl w:ilvl="0" w:tplc="0C0A0005">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 w15:restartNumberingAfterBreak="0">
    <w:nsid w:val="4E3F1BC9"/>
    <w:multiLevelType w:val="hybridMultilevel"/>
    <w:tmpl w:val="590EF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81615D5"/>
    <w:multiLevelType w:val="hybridMultilevel"/>
    <w:tmpl w:val="73089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F686515"/>
    <w:multiLevelType w:val="hybridMultilevel"/>
    <w:tmpl w:val="6C8EE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EA489E"/>
    <w:multiLevelType w:val="hybridMultilevel"/>
    <w:tmpl w:val="290C2D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8208271">
    <w:abstractNumId w:val="1"/>
  </w:num>
  <w:num w:numId="2" w16cid:durableId="2067992101">
    <w:abstractNumId w:val="3"/>
  </w:num>
  <w:num w:numId="3" w16cid:durableId="848907075">
    <w:abstractNumId w:val="2"/>
  </w:num>
  <w:num w:numId="4" w16cid:durableId="592125007">
    <w:abstractNumId w:val="4"/>
  </w:num>
  <w:num w:numId="5" w16cid:durableId="1510559916">
    <w:abstractNumId w:val="0"/>
    <w:lvlOverride w:ilvl="0"/>
    <w:lvlOverride w:ilvl="1"/>
    <w:lvlOverride w:ilvl="2"/>
    <w:lvlOverride w:ilvl="3"/>
    <w:lvlOverride w:ilvl="4"/>
    <w:lvlOverride w:ilvl="5"/>
    <w:lvlOverride w:ilvl="6"/>
    <w:lvlOverride w:ilvl="7"/>
    <w:lvlOverride w:ilvl="8"/>
  </w:num>
  <w:num w:numId="6" w16cid:durableId="42973649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750"/>
    <w:rsid w:val="0009464C"/>
    <w:rsid w:val="00103B93"/>
    <w:rsid w:val="002B473E"/>
    <w:rsid w:val="002E52C4"/>
    <w:rsid w:val="00375123"/>
    <w:rsid w:val="003B3C02"/>
    <w:rsid w:val="003F6C3E"/>
    <w:rsid w:val="00401892"/>
    <w:rsid w:val="00413339"/>
    <w:rsid w:val="00466B52"/>
    <w:rsid w:val="004731CB"/>
    <w:rsid w:val="005364AB"/>
    <w:rsid w:val="00585B64"/>
    <w:rsid w:val="006E1D7A"/>
    <w:rsid w:val="006E5298"/>
    <w:rsid w:val="0072100C"/>
    <w:rsid w:val="00767FAD"/>
    <w:rsid w:val="00787274"/>
    <w:rsid w:val="007A7589"/>
    <w:rsid w:val="007B2A6F"/>
    <w:rsid w:val="007B5A81"/>
    <w:rsid w:val="007D1AB8"/>
    <w:rsid w:val="007E76B6"/>
    <w:rsid w:val="008D4B13"/>
    <w:rsid w:val="0098056F"/>
    <w:rsid w:val="00A84CE9"/>
    <w:rsid w:val="00AC0437"/>
    <w:rsid w:val="00AE5750"/>
    <w:rsid w:val="00AE74A1"/>
    <w:rsid w:val="00B1177D"/>
    <w:rsid w:val="00B92AF8"/>
    <w:rsid w:val="00C3332D"/>
    <w:rsid w:val="00CE5EFA"/>
    <w:rsid w:val="00D17D77"/>
    <w:rsid w:val="00DE3072"/>
    <w:rsid w:val="00E20759"/>
    <w:rsid w:val="00E520D1"/>
    <w:rsid w:val="00E90B4C"/>
    <w:rsid w:val="00E958C4"/>
    <w:rsid w:val="00F23C7E"/>
    <w:rsid w:val="00F96E44"/>
    <w:rsid w:val="00FC4C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04E309"/>
  <w15:docId w15:val="{FDA33B79-7D30-464A-981E-4052A105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C7E"/>
    <w:rPr>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75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589"/>
    <w:rPr>
      <w:rFonts w:ascii="Tahoma" w:hAnsi="Tahoma" w:cs="Tahoma"/>
      <w:sz w:val="16"/>
      <w:szCs w:val="16"/>
    </w:rPr>
  </w:style>
  <w:style w:type="paragraph" w:styleId="Prrafodelista">
    <w:name w:val="List Paragraph"/>
    <w:basedOn w:val="Normal"/>
    <w:uiPriority w:val="34"/>
    <w:qFormat/>
    <w:rsid w:val="00375123"/>
    <w:pPr>
      <w:ind w:left="720"/>
      <w:contextualSpacing/>
    </w:pPr>
    <w:rPr>
      <w:rFonts w:eastAsiaTheme="minorEastAsia"/>
      <w:sz w:val="22"/>
      <w:lang w:eastAsia="es-ES"/>
    </w:rPr>
  </w:style>
  <w:style w:type="paragraph" w:styleId="Encabezado">
    <w:name w:val="header"/>
    <w:basedOn w:val="Normal"/>
    <w:link w:val="EncabezadoCar"/>
    <w:uiPriority w:val="99"/>
    <w:unhideWhenUsed/>
    <w:rsid w:val="002B47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473E"/>
    <w:rPr>
      <w:sz w:val="20"/>
    </w:rPr>
  </w:style>
  <w:style w:type="paragraph" w:styleId="Piedepgina">
    <w:name w:val="footer"/>
    <w:basedOn w:val="Normal"/>
    <w:link w:val="PiedepginaCar"/>
    <w:uiPriority w:val="99"/>
    <w:unhideWhenUsed/>
    <w:rsid w:val="002B47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473E"/>
    <w:rPr>
      <w:sz w:val="20"/>
    </w:rPr>
  </w:style>
  <w:style w:type="paragraph" w:styleId="NormalWeb">
    <w:name w:val="Normal (Web)"/>
    <w:basedOn w:val="Normal"/>
    <w:uiPriority w:val="99"/>
    <w:semiHidden/>
    <w:unhideWhenUsed/>
    <w:rsid w:val="0098056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8056F"/>
    <w:rPr>
      <w:color w:val="0000FF"/>
      <w:u w:val="single"/>
    </w:rPr>
  </w:style>
  <w:style w:type="character" w:customStyle="1" w:styleId="spanfuentes">
    <w:name w:val="spanfuentes"/>
    <w:basedOn w:val="Fuentedeprrafopredeter"/>
    <w:rsid w:val="00FC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4542">
      <w:bodyDiv w:val="1"/>
      <w:marLeft w:val="0"/>
      <w:marRight w:val="0"/>
      <w:marTop w:val="0"/>
      <w:marBottom w:val="0"/>
      <w:divBdr>
        <w:top w:val="none" w:sz="0" w:space="0" w:color="auto"/>
        <w:left w:val="none" w:sz="0" w:space="0" w:color="auto"/>
        <w:bottom w:val="none" w:sz="0" w:space="0" w:color="auto"/>
        <w:right w:val="none" w:sz="0" w:space="0" w:color="auto"/>
      </w:divBdr>
    </w:div>
    <w:div w:id="230625111">
      <w:bodyDiv w:val="1"/>
      <w:marLeft w:val="0"/>
      <w:marRight w:val="0"/>
      <w:marTop w:val="0"/>
      <w:marBottom w:val="0"/>
      <w:divBdr>
        <w:top w:val="none" w:sz="0" w:space="0" w:color="auto"/>
        <w:left w:val="none" w:sz="0" w:space="0" w:color="auto"/>
        <w:bottom w:val="none" w:sz="0" w:space="0" w:color="auto"/>
        <w:right w:val="none" w:sz="0" w:space="0" w:color="auto"/>
      </w:divBdr>
    </w:div>
    <w:div w:id="447092281">
      <w:bodyDiv w:val="1"/>
      <w:marLeft w:val="0"/>
      <w:marRight w:val="0"/>
      <w:marTop w:val="0"/>
      <w:marBottom w:val="0"/>
      <w:divBdr>
        <w:top w:val="none" w:sz="0" w:space="0" w:color="auto"/>
        <w:left w:val="none" w:sz="0" w:space="0" w:color="auto"/>
        <w:bottom w:val="none" w:sz="0" w:space="0" w:color="auto"/>
        <w:right w:val="none" w:sz="0" w:space="0" w:color="auto"/>
      </w:divBdr>
    </w:div>
    <w:div w:id="965817180">
      <w:bodyDiv w:val="1"/>
      <w:marLeft w:val="0"/>
      <w:marRight w:val="0"/>
      <w:marTop w:val="0"/>
      <w:marBottom w:val="0"/>
      <w:divBdr>
        <w:top w:val="none" w:sz="0" w:space="0" w:color="auto"/>
        <w:left w:val="none" w:sz="0" w:space="0" w:color="auto"/>
        <w:bottom w:val="none" w:sz="0" w:space="0" w:color="auto"/>
        <w:right w:val="none" w:sz="0" w:space="0" w:color="auto"/>
      </w:divBdr>
    </w:div>
    <w:div w:id="1160077256">
      <w:bodyDiv w:val="1"/>
      <w:marLeft w:val="0"/>
      <w:marRight w:val="0"/>
      <w:marTop w:val="0"/>
      <w:marBottom w:val="0"/>
      <w:divBdr>
        <w:top w:val="none" w:sz="0" w:space="0" w:color="auto"/>
        <w:left w:val="none" w:sz="0" w:space="0" w:color="auto"/>
        <w:bottom w:val="none" w:sz="0" w:space="0" w:color="auto"/>
        <w:right w:val="none" w:sz="0" w:space="0" w:color="auto"/>
      </w:divBdr>
      <w:divsChild>
        <w:div w:id="971910577">
          <w:marLeft w:val="0"/>
          <w:marRight w:val="0"/>
          <w:marTop w:val="0"/>
          <w:marBottom w:val="0"/>
          <w:divBdr>
            <w:top w:val="none" w:sz="0" w:space="0" w:color="auto"/>
            <w:left w:val="none" w:sz="0" w:space="0" w:color="auto"/>
            <w:bottom w:val="none" w:sz="0" w:space="0" w:color="auto"/>
            <w:right w:val="none" w:sz="0" w:space="0" w:color="auto"/>
          </w:divBdr>
          <w:divsChild>
            <w:div w:id="667368040">
              <w:marLeft w:val="0"/>
              <w:marRight w:val="0"/>
              <w:marTop w:val="0"/>
              <w:marBottom w:val="0"/>
              <w:divBdr>
                <w:top w:val="none" w:sz="0" w:space="0" w:color="auto"/>
                <w:left w:val="none" w:sz="0" w:space="0" w:color="auto"/>
                <w:bottom w:val="none" w:sz="0" w:space="0" w:color="auto"/>
                <w:right w:val="none" w:sz="0" w:space="0" w:color="auto"/>
              </w:divBdr>
              <w:divsChild>
                <w:div w:id="5859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5448">
          <w:marLeft w:val="0"/>
          <w:marRight w:val="0"/>
          <w:marTop w:val="0"/>
          <w:marBottom w:val="0"/>
          <w:divBdr>
            <w:top w:val="none" w:sz="0" w:space="0" w:color="auto"/>
            <w:left w:val="none" w:sz="0" w:space="0" w:color="auto"/>
            <w:bottom w:val="none" w:sz="0" w:space="0" w:color="auto"/>
            <w:right w:val="none" w:sz="0" w:space="0" w:color="auto"/>
          </w:divBdr>
          <w:divsChild>
            <w:div w:id="965357073">
              <w:marLeft w:val="0"/>
              <w:marRight w:val="0"/>
              <w:marTop w:val="0"/>
              <w:marBottom w:val="0"/>
              <w:divBdr>
                <w:top w:val="none" w:sz="0" w:space="0" w:color="auto"/>
                <w:left w:val="none" w:sz="0" w:space="0" w:color="auto"/>
                <w:bottom w:val="none" w:sz="0" w:space="0" w:color="auto"/>
                <w:right w:val="none" w:sz="0" w:space="0" w:color="auto"/>
              </w:divBdr>
              <w:divsChild>
                <w:div w:id="122970066">
                  <w:marLeft w:val="0"/>
                  <w:marRight w:val="0"/>
                  <w:marTop w:val="0"/>
                  <w:marBottom w:val="150"/>
                  <w:divBdr>
                    <w:top w:val="none" w:sz="0" w:space="0" w:color="auto"/>
                    <w:left w:val="none" w:sz="0" w:space="0" w:color="auto"/>
                    <w:bottom w:val="none" w:sz="0" w:space="0" w:color="auto"/>
                    <w:right w:val="none" w:sz="0" w:space="0" w:color="auto"/>
                  </w:divBdr>
                  <w:divsChild>
                    <w:div w:id="1717121071">
                      <w:marLeft w:val="0"/>
                      <w:marRight w:val="0"/>
                      <w:marTop w:val="0"/>
                      <w:marBottom w:val="0"/>
                      <w:divBdr>
                        <w:top w:val="none" w:sz="0" w:space="0" w:color="auto"/>
                        <w:left w:val="none" w:sz="0" w:space="0" w:color="auto"/>
                        <w:bottom w:val="none" w:sz="0" w:space="0" w:color="auto"/>
                        <w:right w:val="none" w:sz="0" w:space="0" w:color="auto"/>
                      </w:divBdr>
                    </w:div>
                  </w:divsChild>
                </w:div>
                <w:div w:id="5176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954">
          <w:marLeft w:val="0"/>
          <w:marRight w:val="0"/>
          <w:marTop w:val="0"/>
          <w:marBottom w:val="0"/>
          <w:divBdr>
            <w:top w:val="none" w:sz="0" w:space="0" w:color="auto"/>
            <w:left w:val="none" w:sz="0" w:space="0" w:color="auto"/>
            <w:bottom w:val="none" w:sz="0" w:space="0" w:color="auto"/>
            <w:right w:val="none" w:sz="0" w:space="0" w:color="auto"/>
          </w:divBdr>
          <w:divsChild>
            <w:div w:id="2071952686">
              <w:marLeft w:val="0"/>
              <w:marRight w:val="0"/>
              <w:marTop w:val="0"/>
              <w:marBottom w:val="0"/>
              <w:divBdr>
                <w:top w:val="none" w:sz="0" w:space="0" w:color="auto"/>
                <w:left w:val="none" w:sz="0" w:space="0" w:color="auto"/>
                <w:bottom w:val="none" w:sz="0" w:space="0" w:color="auto"/>
                <w:right w:val="none" w:sz="0" w:space="0" w:color="auto"/>
              </w:divBdr>
              <w:divsChild>
                <w:div w:id="2125030215">
                  <w:marLeft w:val="0"/>
                  <w:marRight w:val="0"/>
                  <w:marTop w:val="0"/>
                  <w:marBottom w:val="150"/>
                  <w:divBdr>
                    <w:top w:val="none" w:sz="0" w:space="0" w:color="auto"/>
                    <w:left w:val="none" w:sz="0" w:space="0" w:color="auto"/>
                    <w:bottom w:val="none" w:sz="0" w:space="0" w:color="auto"/>
                    <w:right w:val="none" w:sz="0" w:space="0" w:color="auto"/>
                  </w:divBdr>
                  <w:divsChild>
                    <w:div w:id="393700576">
                      <w:marLeft w:val="0"/>
                      <w:marRight w:val="0"/>
                      <w:marTop w:val="0"/>
                      <w:marBottom w:val="0"/>
                      <w:divBdr>
                        <w:top w:val="none" w:sz="0" w:space="0" w:color="auto"/>
                        <w:left w:val="none" w:sz="0" w:space="0" w:color="auto"/>
                        <w:bottom w:val="none" w:sz="0" w:space="0" w:color="auto"/>
                        <w:right w:val="none" w:sz="0" w:space="0" w:color="auto"/>
                      </w:divBdr>
                    </w:div>
                  </w:divsChild>
                </w:div>
                <w:div w:id="12448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619605">
          <w:marLeft w:val="0"/>
          <w:marRight w:val="0"/>
          <w:marTop w:val="0"/>
          <w:marBottom w:val="0"/>
          <w:divBdr>
            <w:top w:val="none" w:sz="0" w:space="0" w:color="auto"/>
            <w:left w:val="none" w:sz="0" w:space="0" w:color="auto"/>
            <w:bottom w:val="none" w:sz="0" w:space="0" w:color="auto"/>
            <w:right w:val="none" w:sz="0" w:space="0" w:color="auto"/>
          </w:divBdr>
          <w:divsChild>
            <w:div w:id="1880243411">
              <w:marLeft w:val="0"/>
              <w:marRight w:val="0"/>
              <w:marTop w:val="0"/>
              <w:marBottom w:val="0"/>
              <w:divBdr>
                <w:top w:val="none" w:sz="0" w:space="0" w:color="auto"/>
                <w:left w:val="none" w:sz="0" w:space="0" w:color="auto"/>
                <w:bottom w:val="none" w:sz="0" w:space="0" w:color="auto"/>
                <w:right w:val="none" w:sz="0" w:space="0" w:color="auto"/>
              </w:divBdr>
              <w:divsChild>
                <w:div w:id="820269502">
                  <w:marLeft w:val="0"/>
                  <w:marRight w:val="0"/>
                  <w:marTop w:val="0"/>
                  <w:marBottom w:val="150"/>
                  <w:divBdr>
                    <w:top w:val="none" w:sz="0" w:space="0" w:color="auto"/>
                    <w:left w:val="none" w:sz="0" w:space="0" w:color="auto"/>
                    <w:bottom w:val="none" w:sz="0" w:space="0" w:color="auto"/>
                    <w:right w:val="none" w:sz="0" w:space="0" w:color="auto"/>
                  </w:divBdr>
                  <w:divsChild>
                    <w:div w:id="898127459">
                      <w:marLeft w:val="0"/>
                      <w:marRight w:val="0"/>
                      <w:marTop w:val="0"/>
                      <w:marBottom w:val="0"/>
                      <w:divBdr>
                        <w:top w:val="none" w:sz="0" w:space="0" w:color="auto"/>
                        <w:left w:val="none" w:sz="0" w:space="0" w:color="auto"/>
                        <w:bottom w:val="none" w:sz="0" w:space="0" w:color="auto"/>
                        <w:right w:val="none" w:sz="0" w:space="0" w:color="auto"/>
                      </w:divBdr>
                    </w:div>
                  </w:divsChild>
                </w:div>
                <w:div w:id="222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5427">
          <w:marLeft w:val="0"/>
          <w:marRight w:val="0"/>
          <w:marTop w:val="0"/>
          <w:marBottom w:val="0"/>
          <w:divBdr>
            <w:top w:val="none" w:sz="0" w:space="0" w:color="auto"/>
            <w:left w:val="none" w:sz="0" w:space="0" w:color="auto"/>
            <w:bottom w:val="none" w:sz="0" w:space="0" w:color="auto"/>
            <w:right w:val="none" w:sz="0" w:space="0" w:color="auto"/>
          </w:divBdr>
          <w:divsChild>
            <w:div w:id="402029642">
              <w:marLeft w:val="0"/>
              <w:marRight w:val="0"/>
              <w:marTop w:val="0"/>
              <w:marBottom w:val="0"/>
              <w:divBdr>
                <w:top w:val="none" w:sz="0" w:space="0" w:color="auto"/>
                <w:left w:val="none" w:sz="0" w:space="0" w:color="auto"/>
                <w:bottom w:val="none" w:sz="0" w:space="0" w:color="auto"/>
                <w:right w:val="none" w:sz="0" w:space="0" w:color="auto"/>
              </w:divBdr>
              <w:divsChild>
                <w:div w:id="912279988">
                  <w:marLeft w:val="0"/>
                  <w:marRight w:val="0"/>
                  <w:marTop w:val="0"/>
                  <w:marBottom w:val="150"/>
                  <w:divBdr>
                    <w:top w:val="none" w:sz="0" w:space="0" w:color="auto"/>
                    <w:left w:val="none" w:sz="0" w:space="0" w:color="auto"/>
                    <w:bottom w:val="none" w:sz="0" w:space="0" w:color="auto"/>
                    <w:right w:val="none" w:sz="0" w:space="0" w:color="auto"/>
                  </w:divBdr>
                  <w:divsChild>
                    <w:div w:id="1032001556">
                      <w:marLeft w:val="0"/>
                      <w:marRight w:val="0"/>
                      <w:marTop w:val="0"/>
                      <w:marBottom w:val="0"/>
                      <w:divBdr>
                        <w:top w:val="none" w:sz="0" w:space="0" w:color="auto"/>
                        <w:left w:val="none" w:sz="0" w:space="0" w:color="auto"/>
                        <w:bottom w:val="none" w:sz="0" w:space="0" w:color="auto"/>
                        <w:right w:val="none" w:sz="0" w:space="0" w:color="auto"/>
                      </w:divBdr>
                    </w:div>
                  </w:divsChild>
                </w:div>
                <w:div w:id="4897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62682">
          <w:marLeft w:val="0"/>
          <w:marRight w:val="0"/>
          <w:marTop w:val="0"/>
          <w:marBottom w:val="0"/>
          <w:divBdr>
            <w:top w:val="none" w:sz="0" w:space="0" w:color="auto"/>
            <w:left w:val="none" w:sz="0" w:space="0" w:color="auto"/>
            <w:bottom w:val="none" w:sz="0" w:space="0" w:color="auto"/>
            <w:right w:val="none" w:sz="0" w:space="0" w:color="auto"/>
          </w:divBdr>
          <w:divsChild>
            <w:div w:id="461382018">
              <w:marLeft w:val="0"/>
              <w:marRight w:val="0"/>
              <w:marTop w:val="0"/>
              <w:marBottom w:val="0"/>
              <w:divBdr>
                <w:top w:val="none" w:sz="0" w:space="0" w:color="auto"/>
                <w:left w:val="none" w:sz="0" w:space="0" w:color="auto"/>
                <w:bottom w:val="none" w:sz="0" w:space="0" w:color="auto"/>
                <w:right w:val="none" w:sz="0" w:space="0" w:color="auto"/>
              </w:divBdr>
              <w:divsChild>
                <w:div w:id="398283407">
                  <w:marLeft w:val="0"/>
                  <w:marRight w:val="0"/>
                  <w:marTop w:val="0"/>
                  <w:marBottom w:val="150"/>
                  <w:divBdr>
                    <w:top w:val="none" w:sz="0" w:space="0" w:color="auto"/>
                    <w:left w:val="none" w:sz="0" w:space="0" w:color="auto"/>
                    <w:bottom w:val="none" w:sz="0" w:space="0" w:color="auto"/>
                    <w:right w:val="none" w:sz="0" w:space="0" w:color="auto"/>
                  </w:divBdr>
                  <w:divsChild>
                    <w:div w:id="2033997664">
                      <w:marLeft w:val="0"/>
                      <w:marRight w:val="0"/>
                      <w:marTop w:val="0"/>
                      <w:marBottom w:val="0"/>
                      <w:divBdr>
                        <w:top w:val="none" w:sz="0" w:space="0" w:color="auto"/>
                        <w:left w:val="none" w:sz="0" w:space="0" w:color="auto"/>
                        <w:bottom w:val="none" w:sz="0" w:space="0" w:color="auto"/>
                        <w:right w:val="none" w:sz="0" w:space="0" w:color="auto"/>
                      </w:divBdr>
                    </w:div>
                  </w:divsChild>
                </w:div>
                <w:div w:id="1632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21595">
      <w:bodyDiv w:val="1"/>
      <w:marLeft w:val="0"/>
      <w:marRight w:val="0"/>
      <w:marTop w:val="0"/>
      <w:marBottom w:val="0"/>
      <w:divBdr>
        <w:top w:val="none" w:sz="0" w:space="0" w:color="auto"/>
        <w:left w:val="none" w:sz="0" w:space="0" w:color="auto"/>
        <w:bottom w:val="none" w:sz="0" w:space="0" w:color="auto"/>
        <w:right w:val="none" w:sz="0" w:space="0" w:color="auto"/>
      </w:divBdr>
    </w:div>
    <w:div w:id="179825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187</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Suberviola, Mº José</dc:creator>
  <cp:lastModifiedBy>Paula Solozabal (AAD)</cp:lastModifiedBy>
  <cp:revision>17</cp:revision>
  <cp:lastPrinted>2020-07-24T07:54:00Z</cp:lastPrinted>
  <dcterms:created xsi:type="dcterms:W3CDTF">2021-02-22T13:04:00Z</dcterms:created>
  <dcterms:modified xsi:type="dcterms:W3CDTF">2026-02-03T07:22:00Z</dcterms:modified>
</cp:coreProperties>
</file>